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B1CC" w14:textId="7D8FB4C5" w:rsidR="00323630" w:rsidRPr="00202A01" w:rsidRDefault="001C2E1D" w:rsidP="00202A01">
      <w:pPr>
        <w:spacing w:line="192" w:lineRule="auto"/>
        <w:ind w:left="1440" w:firstLine="720"/>
        <w:rPr>
          <w:rFonts w:ascii="Raleway" w:eastAsia="Raleway" w:hAnsi="Raleway" w:cs="Times New Roman"/>
          <w:b/>
          <w:bCs/>
          <w:color w:val="18355E"/>
          <w:sz w:val="44"/>
          <w:szCs w:val="44"/>
          <w:lang w:val="es-ES"/>
        </w:rPr>
      </w:pPr>
      <w:r w:rsidRPr="00403D33">
        <w:rPr>
          <w:rFonts w:ascii="Times New Roman" w:eastAsia="Calibri" w:hAnsi="Times New Roman" w:cs="Times New Roman"/>
          <w:noProof/>
          <w:sz w:val="24"/>
        </w:rPr>
        <mc:AlternateContent>
          <mc:Choice Requires="wps">
            <w:drawing>
              <wp:anchor distT="0" distB="0" distL="114300" distR="114300" simplePos="0" relativeHeight="251660288" behindDoc="0" locked="0" layoutInCell="1" allowOverlap="1" wp14:anchorId="052B7E28" wp14:editId="07683B3D">
                <wp:simplePos x="0" y="0"/>
                <wp:positionH relativeFrom="column">
                  <wp:posOffset>-419548</wp:posOffset>
                </wp:positionH>
                <wp:positionV relativeFrom="paragraph">
                  <wp:posOffset>185084</wp:posOffset>
                </wp:positionV>
                <wp:extent cx="1721224" cy="2624866"/>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721224" cy="2624866"/>
                        </a:xfrm>
                        <a:prstGeom prst="rect">
                          <a:avLst/>
                        </a:prstGeom>
                        <a:solidFill>
                          <a:srgbClr val="DC0730"/>
                        </a:solidFill>
                        <a:ln w="6350">
                          <a:noFill/>
                        </a:ln>
                      </wps:spPr>
                      <wps:txbx>
                        <w:txbxContent>
                          <w:p w14:paraId="75D08E80" w14:textId="77777777" w:rsidR="001C2E1D" w:rsidRDefault="001C2E1D" w:rsidP="001C2E1D">
                            <w:pPr>
                              <w:jc w:val="center"/>
                              <w:rPr>
                                <w:rFonts w:ascii="Montserrat SemiBold" w:hAnsi="Montserrat SemiBold" w:cs="Times New Roman"/>
                                <w:b/>
                                <w:bCs/>
                                <w:color w:val="FFFFFF" w:themeColor="background1"/>
                                <w:sz w:val="44"/>
                                <w:szCs w:val="44"/>
                                <w:lang w:val="es-ES"/>
                              </w:rPr>
                            </w:pPr>
                          </w:p>
                          <w:p w14:paraId="5CF7B078" w14:textId="77777777" w:rsidR="001C2E1D" w:rsidRDefault="001C2E1D" w:rsidP="001C2E1D">
                            <w:pPr>
                              <w:jc w:val="center"/>
                              <w:rPr>
                                <w:rFonts w:ascii="Montserrat SemiBold" w:hAnsi="Montserrat SemiBold" w:cs="Times New Roman"/>
                                <w:b/>
                                <w:bCs/>
                                <w:color w:val="FFFFFF" w:themeColor="background1"/>
                                <w:sz w:val="44"/>
                                <w:szCs w:val="44"/>
                                <w:lang w:val="es-ES"/>
                              </w:rPr>
                            </w:pPr>
                          </w:p>
                          <w:p w14:paraId="2539E20F" w14:textId="77777777" w:rsidR="001C2E1D" w:rsidRDefault="001C2E1D" w:rsidP="001C2E1D">
                            <w:pPr>
                              <w:jc w:val="center"/>
                              <w:rPr>
                                <w:rFonts w:ascii="Montserrat SemiBold" w:hAnsi="Montserrat SemiBold" w:cs="Times New Roman"/>
                                <w:b/>
                                <w:bCs/>
                                <w:color w:val="FFFFFF" w:themeColor="background1"/>
                                <w:sz w:val="44"/>
                                <w:szCs w:val="44"/>
                                <w:lang w:val="es-ES"/>
                              </w:rPr>
                            </w:pPr>
                          </w:p>
                          <w:p w14:paraId="38A21398" w14:textId="77777777" w:rsidR="001C2E1D" w:rsidRDefault="001C2E1D" w:rsidP="001C2E1D">
                            <w:pPr>
                              <w:rPr>
                                <w:rFonts w:ascii="Montserrat SemiBold" w:hAnsi="Montserrat SemiBold" w:cs="Times New Roman"/>
                                <w:b/>
                                <w:bCs/>
                                <w:color w:val="FFFFFF" w:themeColor="background1"/>
                                <w:sz w:val="44"/>
                                <w:szCs w:val="44"/>
                                <w:lang w:val="es-ES"/>
                              </w:rPr>
                            </w:pPr>
                          </w:p>
                          <w:p w14:paraId="3CD68643" w14:textId="77777777" w:rsidR="001C2E1D" w:rsidRDefault="001C2E1D" w:rsidP="001C2E1D">
                            <w:pPr>
                              <w:jc w:val="center"/>
                              <w:rPr>
                                <w:rFonts w:ascii="Montserrat SemiBold" w:hAnsi="Montserrat SemiBold" w:cs="Times New Roman"/>
                                <w:b/>
                                <w:bCs/>
                                <w:color w:val="FFFFFF" w:themeColor="background1"/>
                                <w:sz w:val="44"/>
                                <w:szCs w:val="44"/>
                                <w:lang w:val="es-ES"/>
                              </w:rPr>
                            </w:pPr>
                          </w:p>
                          <w:p w14:paraId="0CE97C3A" w14:textId="77777777" w:rsidR="001C2E1D" w:rsidRDefault="001C2E1D" w:rsidP="001C2E1D">
                            <w:pPr>
                              <w:jc w:val="center"/>
                              <w:rPr>
                                <w:rFonts w:ascii="Raleway" w:eastAsia="Raleway" w:hAnsi="Raleway" w:cs="Times New Roman"/>
                                <w:b/>
                                <w:bCs/>
                                <w:color w:val="FFFFFF" w:themeColor="background1"/>
                                <w:sz w:val="44"/>
                                <w:szCs w:val="44"/>
                                <w:lang w:val="es-ES"/>
                              </w:rPr>
                            </w:pPr>
                            <w:r>
                              <w:rPr>
                                <w:rFonts w:ascii="Raleway" w:eastAsia="Raleway" w:hAnsi="Raleway" w:cs="Times New Roman" w:hint="eastAsia"/>
                                <w:b/>
                                <w:bCs/>
                                <w:color w:val="FFFFFF" w:themeColor="background1"/>
                                <w:sz w:val="44"/>
                                <w:szCs w:val="44"/>
                                <w:lang w:val="es-ES"/>
                              </w:rPr>
                              <w:t>BOLETÍN</w:t>
                            </w:r>
                          </w:p>
                          <w:p w14:paraId="744F8646" w14:textId="77777777" w:rsidR="001C2E1D" w:rsidRDefault="001C2E1D" w:rsidP="001C2E1D">
                            <w:pPr>
                              <w:rPr>
                                <w:rFonts w:ascii="Montserrat SemiBold" w:eastAsia="Calibri" w:hAnsi="Montserrat SemiBold" w:cs="Times New Roman"/>
                                <w:b/>
                                <w:bCs/>
                                <w:color w:val="FFFFFF" w:themeColor="background1"/>
                                <w:sz w:val="44"/>
                                <w:szCs w:val="44"/>
                                <w:lang w:val="es-ES"/>
                              </w:rPr>
                            </w:pPr>
                          </w:p>
                          <w:p w14:paraId="29DF1707" w14:textId="77777777" w:rsidR="001C2E1D" w:rsidRDefault="001C2E1D" w:rsidP="001C2E1D">
                            <w:pPr>
                              <w:jc w:val="center"/>
                              <w:rPr>
                                <w:rFonts w:ascii="Montserrat SemiBold" w:hAnsi="Montserrat SemiBold" w:cs="Times New Roman"/>
                                <w:b/>
                                <w:bCs/>
                                <w:color w:val="FFFFFF" w:themeColor="background1"/>
                                <w:sz w:val="44"/>
                                <w:szCs w:val="44"/>
                                <w:lang w:val="es-ES"/>
                              </w:rPr>
                            </w:pPr>
                            <w:r>
                              <w:rPr>
                                <w:rFonts w:ascii="Montserrat SemiBold" w:hAnsi="Montserrat SemiBold" w:cs="Times New Roman"/>
                                <w:b/>
                                <w:bCs/>
                                <w:color w:val="FFFFFF" w:themeColor="background1"/>
                                <w:sz w:val="44"/>
                                <w:szCs w:val="44"/>
                                <w:lang w:val="es-ES"/>
                              </w:rPr>
                              <w:t xml:space="preserve"> </w:t>
                            </w:r>
                          </w:p>
                          <w:p w14:paraId="6E833B16" w14:textId="77777777" w:rsidR="001C2E1D" w:rsidRDefault="001C2E1D" w:rsidP="001C2E1D">
                            <w:pPr>
                              <w:rPr>
                                <w:rFonts w:cs="Arial"/>
                                <w:color w:val="FFFFFF" w:themeColor="background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B7E28" id="_x0000_t202" coordsize="21600,21600" o:spt="202" path="m,l,21600r21600,l21600,xe">
                <v:stroke joinstyle="miter"/>
                <v:path gradientshapeok="t" o:connecttype="rect"/>
              </v:shapetype>
              <v:shape id="Text Box 1" o:spid="_x0000_s1026" type="#_x0000_t202" style="position:absolute;left:0;text-align:left;margin-left:-33.05pt;margin-top:14.55pt;width:135.55pt;height:20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" fillcolor="#dc0730" stroked="f" strokeweight=".5pt">
                <v:textbox>
                  <w:txbxContent>
                    <w:p w14:paraId="75D08E80" w14:textId="77777777" w:rsidR="001C2E1D" w:rsidRDefault="001C2E1D" w:rsidP="001C2E1D">
                      <w:pPr>
                        <w:jc w:val="center"/>
                        <w:rPr>
                          <w:rFonts w:ascii="Montserrat SemiBold" w:hAnsi="Montserrat SemiBold" w:cs="Times New Roman"/>
                          <w:b/>
                          <w:bCs/>
                          <w:color w:val="FFFFFF" w:themeColor="background1"/>
                          <w:sz w:val="44"/>
                          <w:szCs w:val="44"/>
                          <w:lang w:val="es-ES"/>
                        </w:rPr>
                      </w:pPr>
                    </w:p>
                    <w:p w14:paraId="5CF7B078" w14:textId="77777777" w:rsidR="001C2E1D" w:rsidRDefault="001C2E1D" w:rsidP="001C2E1D">
                      <w:pPr>
                        <w:jc w:val="center"/>
                        <w:rPr>
                          <w:rFonts w:ascii="Montserrat SemiBold" w:hAnsi="Montserrat SemiBold" w:cs="Times New Roman"/>
                          <w:b/>
                          <w:bCs/>
                          <w:color w:val="FFFFFF" w:themeColor="background1"/>
                          <w:sz w:val="44"/>
                          <w:szCs w:val="44"/>
                          <w:lang w:val="es-ES"/>
                        </w:rPr>
                      </w:pPr>
                    </w:p>
                    <w:p w14:paraId="2539E20F" w14:textId="77777777" w:rsidR="001C2E1D" w:rsidRDefault="001C2E1D" w:rsidP="001C2E1D">
                      <w:pPr>
                        <w:jc w:val="center"/>
                        <w:rPr>
                          <w:rFonts w:ascii="Montserrat SemiBold" w:hAnsi="Montserrat SemiBold" w:cs="Times New Roman"/>
                          <w:b/>
                          <w:bCs/>
                          <w:color w:val="FFFFFF" w:themeColor="background1"/>
                          <w:sz w:val="44"/>
                          <w:szCs w:val="44"/>
                          <w:lang w:val="es-ES"/>
                        </w:rPr>
                      </w:pPr>
                    </w:p>
                    <w:p w14:paraId="38A21398" w14:textId="77777777" w:rsidR="001C2E1D" w:rsidRDefault="001C2E1D" w:rsidP="001C2E1D">
                      <w:pPr>
                        <w:rPr>
                          <w:rFonts w:ascii="Montserrat SemiBold" w:hAnsi="Montserrat SemiBold" w:cs="Times New Roman"/>
                          <w:b/>
                          <w:bCs/>
                          <w:color w:val="FFFFFF" w:themeColor="background1"/>
                          <w:sz w:val="44"/>
                          <w:szCs w:val="44"/>
                          <w:lang w:val="es-ES"/>
                        </w:rPr>
                      </w:pPr>
                    </w:p>
                    <w:p w14:paraId="3CD68643" w14:textId="77777777" w:rsidR="001C2E1D" w:rsidRDefault="001C2E1D" w:rsidP="001C2E1D">
                      <w:pPr>
                        <w:jc w:val="center"/>
                        <w:rPr>
                          <w:rFonts w:ascii="Montserrat SemiBold" w:hAnsi="Montserrat SemiBold" w:cs="Times New Roman"/>
                          <w:b/>
                          <w:bCs/>
                          <w:color w:val="FFFFFF" w:themeColor="background1"/>
                          <w:sz w:val="44"/>
                          <w:szCs w:val="44"/>
                          <w:lang w:val="es-ES"/>
                        </w:rPr>
                      </w:pPr>
                    </w:p>
                    <w:p w14:paraId="0CE97C3A" w14:textId="77777777" w:rsidR="001C2E1D" w:rsidRDefault="001C2E1D" w:rsidP="001C2E1D">
                      <w:pPr>
                        <w:jc w:val="center"/>
                        <w:rPr>
                          <w:rFonts w:ascii="Raleway" w:eastAsia="Raleway" w:hAnsi="Raleway" w:cs="Times New Roman"/>
                          <w:b/>
                          <w:bCs/>
                          <w:color w:val="FFFFFF" w:themeColor="background1"/>
                          <w:sz w:val="44"/>
                          <w:szCs w:val="44"/>
                          <w:lang w:val="es-ES"/>
                        </w:rPr>
                      </w:pPr>
                      <w:r>
                        <w:rPr>
                          <w:rFonts w:ascii="Raleway" w:eastAsia="Raleway" w:hAnsi="Raleway" w:cs="Times New Roman" w:hint="eastAsia"/>
                          <w:b/>
                          <w:bCs/>
                          <w:color w:val="FFFFFF" w:themeColor="background1"/>
                          <w:sz w:val="44"/>
                          <w:szCs w:val="44"/>
                          <w:lang w:val="es-ES"/>
                        </w:rPr>
                        <w:t>BOLETÍN</w:t>
                      </w:r>
                    </w:p>
                    <w:p w14:paraId="744F8646" w14:textId="77777777" w:rsidR="001C2E1D" w:rsidRDefault="001C2E1D" w:rsidP="001C2E1D">
                      <w:pPr>
                        <w:rPr>
                          <w:rFonts w:ascii="Montserrat SemiBold" w:eastAsia="Calibri" w:hAnsi="Montserrat SemiBold" w:cs="Times New Roman"/>
                          <w:b/>
                          <w:bCs/>
                          <w:color w:val="FFFFFF" w:themeColor="background1"/>
                          <w:sz w:val="44"/>
                          <w:szCs w:val="44"/>
                          <w:lang w:val="es-ES"/>
                        </w:rPr>
                      </w:pPr>
                    </w:p>
                    <w:p w14:paraId="29DF1707" w14:textId="77777777" w:rsidR="001C2E1D" w:rsidRDefault="001C2E1D" w:rsidP="001C2E1D">
                      <w:pPr>
                        <w:jc w:val="center"/>
                        <w:rPr>
                          <w:rFonts w:ascii="Montserrat SemiBold" w:hAnsi="Montserrat SemiBold" w:cs="Times New Roman"/>
                          <w:b/>
                          <w:bCs/>
                          <w:color w:val="FFFFFF" w:themeColor="background1"/>
                          <w:sz w:val="44"/>
                          <w:szCs w:val="44"/>
                          <w:lang w:val="es-ES"/>
                        </w:rPr>
                      </w:pPr>
                      <w:r>
                        <w:rPr>
                          <w:rFonts w:ascii="Montserrat SemiBold" w:hAnsi="Montserrat SemiBold" w:cs="Times New Roman"/>
                          <w:b/>
                          <w:bCs/>
                          <w:color w:val="FFFFFF" w:themeColor="background1"/>
                          <w:sz w:val="44"/>
                          <w:szCs w:val="44"/>
                          <w:lang w:val="es-ES"/>
                        </w:rPr>
                        <w:t xml:space="preserve"> </w:t>
                      </w:r>
                    </w:p>
                    <w:p w14:paraId="6E833B16" w14:textId="77777777" w:rsidR="001C2E1D" w:rsidRDefault="001C2E1D" w:rsidP="001C2E1D">
                      <w:pPr>
                        <w:rPr>
                          <w:rFonts w:cs="Arial"/>
                          <w:color w:val="FFFFFF" w:themeColor="background1"/>
                        </w:rPr>
                      </w:pPr>
                    </w:p>
                  </w:txbxContent>
                </v:textbox>
              </v:shape>
            </w:pict>
          </mc:Fallback>
        </mc:AlternateContent>
      </w:r>
      <w:r w:rsidR="00323630" w:rsidRPr="00202A01">
        <w:rPr>
          <w:rFonts w:ascii="Raleway" w:eastAsia="Raleway" w:hAnsi="Raleway"/>
          <w:b/>
          <w:bCs/>
          <w:noProof/>
          <w:sz w:val="32"/>
          <w:szCs w:val="32"/>
          <w:lang w:val="es-ES"/>
        </w:rPr>
        <w:drawing>
          <wp:anchor distT="0" distB="0" distL="114300" distR="114300" simplePos="0" relativeHeight="251658240" behindDoc="1" locked="0" layoutInCell="1" allowOverlap="1" wp14:anchorId="2F5D68D4" wp14:editId="7878C586">
            <wp:simplePos x="0" y="0"/>
            <wp:positionH relativeFrom="column">
              <wp:posOffset>-914400</wp:posOffset>
            </wp:positionH>
            <wp:positionV relativeFrom="paragraph">
              <wp:posOffset>-222</wp:posOffset>
            </wp:positionV>
            <wp:extent cx="7789545" cy="1732915"/>
            <wp:effectExtent l="0" t="0" r="0" b="0"/>
            <wp:wrapTight wrapText="bothSides">
              <wp:wrapPolygon edited="0">
                <wp:start x="0" y="0"/>
                <wp:lineTo x="0" y="21370"/>
                <wp:lineTo x="21552" y="21370"/>
                <wp:lineTo x="2155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89545" cy="1732915"/>
                    </a:xfrm>
                    <a:prstGeom prst="rect">
                      <a:avLst/>
                    </a:prstGeom>
                  </pic:spPr>
                </pic:pic>
              </a:graphicData>
            </a:graphic>
            <wp14:sizeRelH relativeFrom="page">
              <wp14:pctWidth>0</wp14:pctWidth>
            </wp14:sizeRelH>
            <wp14:sizeRelV relativeFrom="page">
              <wp14:pctHeight>0</wp14:pctHeight>
            </wp14:sizeRelV>
          </wp:anchor>
        </w:drawing>
      </w:r>
    </w:p>
    <w:p w14:paraId="1E1EB1A5" w14:textId="24D52C56" w:rsidR="0021170E" w:rsidRPr="00202A01" w:rsidRDefault="00075603" w:rsidP="00075603">
      <w:pPr>
        <w:spacing w:line="192" w:lineRule="auto"/>
        <w:ind w:left="2160"/>
        <w:contextualSpacing/>
        <w:rPr>
          <w:rFonts w:ascii="Raleway" w:eastAsia="Raleway" w:hAnsi="Raleway" w:cs="Times New Roman"/>
          <w:b/>
          <w:bCs/>
          <w:color w:val="18355E"/>
          <w:sz w:val="44"/>
          <w:szCs w:val="44"/>
          <w:lang w:val="es-ES"/>
        </w:rPr>
      </w:pPr>
      <w:r>
        <w:rPr>
          <w:rFonts w:ascii="Raleway" w:eastAsia="Raleway" w:hAnsi="Raleway" w:cs="Times New Roman"/>
          <w:b/>
          <w:bCs/>
          <w:color w:val="18355E"/>
          <w:sz w:val="44"/>
          <w:szCs w:val="44"/>
          <w:lang w:val="es-ES"/>
        </w:rPr>
        <w:t xml:space="preserve">Ley No. 163-21: Incentivos </w:t>
      </w:r>
      <w:r w:rsidR="005C7096">
        <w:rPr>
          <w:rFonts w:ascii="Raleway" w:eastAsia="Raleway" w:hAnsi="Raleway" w:cs="Times New Roman"/>
          <w:b/>
          <w:bCs/>
          <w:color w:val="18355E"/>
          <w:sz w:val="44"/>
          <w:szCs w:val="44"/>
          <w:lang w:val="es-ES"/>
        </w:rPr>
        <w:t>para</w:t>
      </w:r>
      <w:r>
        <w:rPr>
          <w:rFonts w:ascii="Raleway" w:eastAsia="Raleway" w:hAnsi="Raleway" w:cs="Times New Roman"/>
          <w:b/>
          <w:bCs/>
          <w:color w:val="18355E"/>
          <w:sz w:val="44"/>
          <w:szCs w:val="44"/>
          <w:lang w:val="es-ES"/>
        </w:rPr>
        <w:t xml:space="preserve"> la colocación y comercialización de valores de oferta pública</w:t>
      </w:r>
    </w:p>
    <w:p w14:paraId="5430D6CD" w14:textId="77777777" w:rsidR="00323630" w:rsidRPr="00202A01" w:rsidRDefault="00323630" w:rsidP="00E17786">
      <w:pPr>
        <w:contextualSpacing/>
        <w:jc w:val="center"/>
        <w:rPr>
          <w:rFonts w:eastAsia="Georgia" w:cs="Times New Roman"/>
          <w:color w:val="000000"/>
          <w:sz w:val="18"/>
          <w:szCs w:val="18"/>
          <w:lang w:val="es-ES"/>
        </w:rPr>
      </w:pPr>
    </w:p>
    <w:p w14:paraId="72263481" w14:textId="0643BE0B" w:rsidR="00E17786" w:rsidRPr="005C7096" w:rsidRDefault="00DE4F66" w:rsidP="00E17786">
      <w:pPr>
        <w:pBdr>
          <w:bottom w:val="single" w:sz="12" w:space="1" w:color="auto"/>
        </w:pBdr>
        <w:contextualSpacing/>
        <w:jc w:val="center"/>
        <w:rPr>
          <w:rFonts w:ascii="Raleway Medium" w:eastAsia="Raleway" w:hAnsi="Raleway Medium" w:cs="Times New Roman"/>
          <w:color w:val="000000"/>
          <w:sz w:val="20"/>
          <w:szCs w:val="20"/>
          <w:lang w:val="es-ES"/>
        </w:rPr>
      </w:pPr>
      <w:r w:rsidRPr="005C7096">
        <w:rPr>
          <w:rFonts w:ascii="Raleway Medium" w:eastAsia="Raleway" w:hAnsi="Raleway Medium" w:cs="Times New Roman"/>
          <w:color w:val="000000"/>
          <w:sz w:val="20"/>
          <w:szCs w:val="20"/>
          <w:lang w:val="es-ES"/>
        </w:rPr>
        <w:t>1</w:t>
      </w:r>
      <w:r w:rsidR="00CF04C1">
        <w:rPr>
          <w:rFonts w:ascii="Raleway Medium" w:eastAsia="Raleway" w:hAnsi="Raleway Medium" w:cs="Times New Roman"/>
          <w:color w:val="000000"/>
          <w:sz w:val="20"/>
          <w:szCs w:val="20"/>
          <w:lang w:val="es-ES"/>
        </w:rPr>
        <w:t>9</w:t>
      </w:r>
      <w:r w:rsidRPr="005C7096">
        <w:rPr>
          <w:rFonts w:ascii="Raleway Medium" w:eastAsia="Raleway" w:hAnsi="Raleway Medium" w:cs="Times New Roman"/>
          <w:color w:val="000000"/>
          <w:sz w:val="20"/>
          <w:szCs w:val="20"/>
          <w:lang w:val="es-ES"/>
        </w:rPr>
        <w:t xml:space="preserve"> de agosto de 2021</w:t>
      </w:r>
    </w:p>
    <w:p w14:paraId="4F65455C" w14:textId="77777777" w:rsidR="00202A01" w:rsidRPr="005C7096" w:rsidRDefault="00202A01" w:rsidP="00E17786">
      <w:pPr>
        <w:pBdr>
          <w:bottom w:val="single" w:sz="12" w:space="1" w:color="auto"/>
        </w:pBdr>
        <w:contextualSpacing/>
        <w:jc w:val="center"/>
        <w:rPr>
          <w:rFonts w:ascii="Raleway Medium" w:eastAsia="Raleway" w:hAnsi="Raleway Medium" w:cs="Times New Roman"/>
          <w:color w:val="85DADF"/>
          <w:sz w:val="20"/>
          <w:szCs w:val="20"/>
          <w:lang w:val="es-ES"/>
        </w:rPr>
      </w:pPr>
    </w:p>
    <w:p w14:paraId="0973D549" w14:textId="77777777" w:rsidR="00202A01" w:rsidRPr="005C7096" w:rsidRDefault="00202A01" w:rsidP="00641379">
      <w:pPr>
        <w:jc w:val="center"/>
        <w:rPr>
          <w:rFonts w:ascii="Raleway Medium" w:eastAsia="Raleway" w:hAnsi="Raleway Medium" w:cs="Times New Roman"/>
          <w:b/>
          <w:bCs/>
          <w:sz w:val="18"/>
          <w:szCs w:val="18"/>
          <w:lang w:val="es-ES"/>
        </w:rPr>
      </w:pPr>
    </w:p>
    <w:p w14:paraId="4E500B55" w14:textId="4552C549" w:rsidR="00202A01" w:rsidRPr="005C7096" w:rsidRDefault="00202A01" w:rsidP="00641379">
      <w:pPr>
        <w:jc w:val="center"/>
        <w:rPr>
          <w:rFonts w:ascii="Raleway Medium" w:eastAsia="Raleway" w:hAnsi="Raleway Medium" w:cs="Times New Roman"/>
          <w:b/>
          <w:bCs/>
          <w:sz w:val="18"/>
          <w:szCs w:val="18"/>
          <w:lang w:val="es-ES"/>
        </w:rPr>
      </w:pPr>
    </w:p>
    <w:p w14:paraId="5B50BC8C" w14:textId="408F2375" w:rsidR="00202A01" w:rsidRPr="005C7096" w:rsidRDefault="00202A01" w:rsidP="00641379">
      <w:pPr>
        <w:jc w:val="center"/>
        <w:rPr>
          <w:rFonts w:ascii="Raleway Medium" w:eastAsia="Raleway" w:hAnsi="Raleway Medium" w:cs="Times New Roman"/>
          <w:b/>
          <w:bCs/>
          <w:sz w:val="18"/>
          <w:szCs w:val="18"/>
          <w:lang w:val="es-ES"/>
        </w:rPr>
        <w:sectPr w:rsidR="00202A01" w:rsidRPr="005C7096" w:rsidSect="002C2ADA">
          <w:headerReference w:type="default" r:id="rId8"/>
          <w:footerReference w:type="default" r:id="rId9"/>
          <w:pgSz w:w="12240" w:h="15840"/>
          <w:pgMar w:top="0" w:right="1440" w:bottom="567" w:left="1440" w:header="0" w:footer="96" w:gutter="0"/>
          <w:cols w:space="708"/>
          <w:docGrid w:linePitch="360"/>
        </w:sectPr>
      </w:pPr>
    </w:p>
    <w:p w14:paraId="0D507094" w14:textId="07DC9608" w:rsidR="00C3533F" w:rsidRPr="000A33B4" w:rsidRDefault="00DE4F66" w:rsidP="00E17786">
      <w:pPr>
        <w:pStyle w:val="NormalWeb"/>
        <w:spacing w:before="0" w:beforeAutospacing="0" w:after="0" w:afterAutospacing="0"/>
        <w:contextualSpacing/>
        <w:jc w:val="both"/>
        <w:rPr>
          <w:rFonts w:ascii="Raleway Medium" w:eastAsia="Raleway" w:hAnsi="Raleway Medium"/>
          <w:sz w:val="18"/>
          <w:szCs w:val="18"/>
          <w:lang w:val="es-ES"/>
        </w:rPr>
      </w:pPr>
      <w:r w:rsidRPr="000A33B4">
        <w:rPr>
          <w:rFonts w:ascii="Raleway Medium" w:eastAsia="Raleway" w:hAnsi="Raleway Medium"/>
          <w:sz w:val="18"/>
          <w:szCs w:val="18"/>
          <w:lang w:val="es-ES"/>
        </w:rPr>
        <w:t xml:space="preserve">El pasado 6 de agosto del año </w:t>
      </w:r>
      <w:r w:rsidR="0041353F" w:rsidRPr="000A33B4">
        <w:rPr>
          <w:rFonts w:ascii="Raleway Medium" w:eastAsia="Raleway" w:hAnsi="Raleway Medium"/>
          <w:sz w:val="18"/>
          <w:szCs w:val="18"/>
          <w:lang w:val="es-ES"/>
        </w:rPr>
        <w:t>2021</w:t>
      </w:r>
      <w:r w:rsidRPr="000A33B4">
        <w:rPr>
          <w:rFonts w:ascii="Raleway Medium" w:eastAsia="Raleway" w:hAnsi="Raleway Medium"/>
          <w:sz w:val="18"/>
          <w:szCs w:val="18"/>
          <w:lang w:val="es-ES"/>
        </w:rPr>
        <w:t xml:space="preserve">, fue promulgada la Ley No. 163-21 de Fomento a la </w:t>
      </w:r>
      <w:r w:rsidR="0041353F" w:rsidRPr="000A33B4">
        <w:rPr>
          <w:rFonts w:ascii="Raleway Medium" w:eastAsia="Raleway" w:hAnsi="Raleway Medium"/>
          <w:sz w:val="18"/>
          <w:szCs w:val="18"/>
          <w:lang w:val="es-ES"/>
        </w:rPr>
        <w:t>C</w:t>
      </w:r>
      <w:r w:rsidRPr="000A33B4">
        <w:rPr>
          <w:rFonts w:ascii="Raleway Medium" w:eastAsia="Raleway" w:hAnsi="Raleway Medium"/>
          <w:sz w:val="18"/>
          <w:szCs w:val="18"/>
          <w:lang w:val="es-ES"/>
        </w:rPr>
        <w:t xml:space="preserve">olocación y Comercialización de Valores de Oferta Pública en el Mercado de Valores de la República Dominicana, con el objetivo de impulsar instrumentos y herramientas que incentiven la participación del sector privado en la recuperación económica </w:t>
      </w:r>
      <w:r w:rsidR="00A250F9" w:rsidRPr="000A33B4">
        <w:rPr>
          <w:rFonts w:ascii="Raleway Medium" w:eastAsia="Raleway" w:hAnsi="Raleway Medium"/>
          <w:sz w:val="18"/>
          <w:szCs w:val="18"/>
          <w:lang w:val="es-ES"/>
        </w:rPr>
        <w:t xml:space="preserve">y la democratización de la distribución de los ingresos, </w:t>
      </w:r>
      <w:r w:rsidRPr="000A33B4">
        <w:rPr>
          <w:rFonts w:ascii="Raleway Medium" w:eastAsia="Raleway" w:hAnsi="Raleway Medium"/>
          <w:sz w:val="18"/>
          <w:szCs w:val="18"/>
          <w:lang w:val="es-ES"/>
        </w:rPr>
        <w:t xml:space="preserve">a través de las oportunidades que genera el mercado de valores ante las dificultades devenidas de la pandemia del </w:t>
      </w:r>
      <w:r w:rsidR="00A250F9" w:rsidRPr="000A33B4">
        <w:rPr>
          <w:rFonts w:ascii="Raleway Medium" w:eastAsia="Raleway" w:hAnsi="Raleway Medium"/>
          <w:sz w:val="18"/>
          <w:szCs w:val="18"/>
          <w:lang w:val="es-ES"/>
        </w:rPr>
        <w:t>CO</w:t>
      </w:r>
      <w:r w:rsidRPr="000A33B4">
        <w:rPr>
          <w:rFonts w:ascii="Raleway Medium" w:eastAsia="Raleway" w:hAnsi="Raleway Medium"/>
          <w:sz w:val="18"/>
          <w:szCs w:val="18"/>
          <w:lang w:val="es-ES"/>
        </w:rPr>
        <w:t>VID-19.</w:t>
      </w:r>
    </w:p>
    <w:p w14:paraId="5F273ECB" w14:textId="7FA0D745" w:rsidR="00DE4F66" w:rsidRPr="000A33B4" w:rsidRDefault="00DE4F66" w:rsidP="00E17786">
      <w:pPr>
        <w:pStyle w:val="NormalWeb"/>
        <w:spacing w:before="0" w:beforeAutospacing="0" w:after="0" w:afterAutospacing="0"/>
        <w:contextualSpacing/>
        <w:jc w:val="both"/>
        <w:rPr>
          <w:rFonts w:ascii="Raleway Medium" w:eastAsia="Raleway" w:hAnsi="Raleway Medium"/>
          <w:sz w:val="18"/>
          <w:szCs w:val="18"/>
          <w:lang w:val="es-ES"/>
        </w:rPr>
      </w:pPr>
    </w:p>
    <w:p w14:paraId="586F76FD" w14:textId="1560242D" w:rsidR="00DE4F66" w:rsidRPr="000A33B4" w:rsidRDefault="00075603" w:rsidP="00E17786">
      <w:pPr>
        <w:pStyle w:val="NormalWeb"/>
        <w:spacing w:before="0" w:beforeAutospacing="0" w:after="0" w:afterAutospacing="0"/>
        <w:contextualSpacing/>
        <w:jc w:val="both"/>
        <w:rPr>
          <w:rFonts w:ascii="Raleway Medium" w:eastAsia="Raleway" w:hAnsi="Raleway Medium"/>
          <w:sz w:val="18"/>
          <w:szCs w:val="18"/>
          <w:lang w:val="es-ES"/>
        </w:rPr>
      </w:pPr>
      <w:r w:rsidRPr="000A33B4">
        <w:rPr>
          <w:rFonts w:ascii="Raleway Medium" w:eastAsia="Raleway" w:hAnsi="Raleway Medium"/>
          <w:sz w:val="18"/>
          <w:szCs w:val="18"/>
          <w:lang w:val="es-ES"/>
        </w:rPr>
        <w:t xml:space="preserve">A tal fin, la citada ley introduce los siguientes incentivos fiscales ofreciendo ventajas a los inversionistas, a saber: </w:t>
      </w:r>
    </w:p>
    <w:p w14:paraId="46E9B67B" w14:textId="0F0A780F" w:rsidR="00075603" w:rsidRPr="000A33B4" w:rsidRDefault="00075603" w:rsidP="00E17786">
      <w:pPr>
        <w:pStyle w:val="NormalWeb"/>
        <w:spacing w:before="0" w:beforeAutospacing="0" w:after="0" w:afterAutospacing="0"/>
        <w:contextualSpacing/>
        <w:jc w:val="both"/>
        <w:rPr>
          <w:rFonts w:ascii="Raleway Medium" w:eastAsia="Raleway" w:hAnsi="Raleway Medium"/>
          <w:sz w:val="18"/>
          <w:szCs w:val="18"/>
          <w:lang w:val="es-ES"/>
        </w:rPr>
      </w:pPr>
    </w:p>
    <w:p w14:paraId="7CFA92C0" w14:textId="4043CD89" w:rsidR="00B31C4C" w:rsidRPr="000A33B4" w:rsidRDefault="005C7096" w:rsidP="00E17786">
      <w:pPr>
        <w:pStyle w:val="NormalWeb"/>
        <w:spacing w:before="0" w:beforeAutospacing="0" w:after="0" w:afterAutospacing="0"/>
        <w:contextualSpacing/>
        <w:jc w:val="both"/>
        <w:rPr>
          <w:rFonts w:ascii="Raleway Medium" w:eastAsia="Raleway" w:hAnsi="Raleway Medium"/>
          <w:sz w:val="18"/>
          <w:szCs w:val="18"/>
          <w:lang w:val="es-ES"/>
        </w:rPr>
      </w:pPr>
      <w:r w:rsidRPr="000A33B4">
        <w:rPr>
          <w:rFonts w:ascii="Raleway Medium" w:eastAsia="Raleway" w:hAnsi="Raleway Medium"/>
          <w:sz w:val="18"/>
          <w:szCs w:val="18"/>
          <w:lang w:val="es-ES"/>
        </w:rPr>
        <w:t>La ley antedicha</w:t>
      </w:r>
      <w:r w:rsidR="00075603" w:rsidRPr="000A33B4">
        <w:rPr>
          <w:rFonts w:ascii="Raleway Medium" w:eastAsia="Raleway" w:hAnsi="Raleway Medium"/>
          <w:sz w:val="18"/>
          <w:szCs w:val="18"/>
          <w:lang w:val="es-ES"/>
        </w:rPr>
        <w:t xml:space="preserve"> ofrece una exención al aumento de capital mediante oferta pública de acciones de las sociedades cotizadas durante los tres años a partir de la </w:t>
      </w:r>
      <w:r w:rsidR="00CF04C1" w:rsidRPr="000A33B4">
        <w:rPr>
          <w:rFonts w:ascii="Raleway Medium" w:eastAsia="Raleway" w:hAnsi="Raleway Medium"/>
          <w:sz w:val="18"/>
          <w:szCs w:val="18"/>
          <w:lang w:val="es-ES"/>
        </w:rPr>
        <w:t>entrada en vigor</w:t>
      </w:r>
      <w:r w:rsidR="00075603" w:rsidRPr="000A33B4">
        <w:rPr>
          <w:rFonts w:ascii="Raleway Medium" w:eastAsia="Raleway" w:hAnsi="Raleway Medium"/>
          <w:sz w:val="18"/>
          <w:szCs w:val="18"/>
          <w:lang w:val="es-ES"/>
        </w:rPr>
        <w:t xml:space="preserve"> de la Ley. Asimismo, se dispone </w:t>
      </w:r>
      <w:r w:rsidR="00215584" w:rsidRPr="000A33B4">
        <w:rPr>
          <w:rFonts w:ascii="Raleway Medium" w:eastAsia="Raleway" w:hAnsi="Raleway Medium"/>
          <w:sz w:val="18"/>
          <w:szCs w:val="18"/>
          <w:lang w:val="es-ES"/>
        </w:rPr>
        <w:t>que los vendedores estarán exentos de la retención por concepto de la ganancia de capital, y se fija una tasa de 15%</w:t>
      </w:r>
      <w:r w:rsidR="0041353F" w:rsidRPr="000A33B4">
        <w:rPr>
          <w:rFonts w:ascii="Raleway Medium" w:eastAsia="Raleway" w:hAnsi="Raleway Medium"/>
          <w:sz w:val="18"/>
          <w:szCs w:val="18"/>
          <w:lang w:val="es-ES"/>
        </w:rPr>
        <w:t xml:space="preserve"> al impuesto sobre las ganancias de capital respecto del vendedor de acciones, por un plazo de tres años. </w:t>
      </w:r>
      <w:r w:rsidRPr="000A33B4">
        <w:rPr>
          <w:rFonts w:ascii="Raleway Medium" w:eastAsia="Raleway" w:hAnsi="Raleway Medium"/>
          <w:sz w:val="18"/>
          <w:szCs w:val="18"/>
          <w:lang w:val="es-ES"/>
        </w:rPr>
        <w:t>S</w:t>
      </w:r>
      <w:r w:rsidR="00B31C4C" w:rsidRPr="000A33B4">
        <w:rPr>
          <w:rFonts w:ascii="Raleway Medium" w:eastAsia="Raleway" w:hAnsi="Raleway Medium"/>
          <w:sz w:val="18"/>
          <w:szCs w:val="18"/>
          <w:lang w:val="es-ES"/>
        </w:rPr>
        <w:t xml:space="preserve">e introduce el efecto neutro fiscal </w:t>
      </w:r>
      <w:r w:rsidR="00EC5353" w:rsidRPr="000A33B4">
        <w:rPr>
          <w:rFonts w:ascii="Raleway Medium" w:eastAsia="Raleway" w:hAnsi="Raleway Medium"/>
          <w:sz w:val="18"/>
          <w:szCs w:val="18"/>
          <w:lang w:val="es-ES"/>
        </w:rPr>
        <w:t xml:space="preserve">para las acciones inscritas como a las no inscritas en el Registro del Mercado de Valores, estableciendo que el Impuesto Sobre la Renta por concepto de ganancia de capital se generará al momento de la venta. </w:t>
      </w:r>
    </w:p>
    <w:p w14:paraId="718F0603" w14:textId="16E686EC" w:rsidR="0041353F" w:rsidRPr="000A33B4" w:rsidRDefault="0041353F" w:rsidP="00E17786">
      <w:pPr>
        <w:pStyle w:val="NormalWeb"/>
        <w:spacing w:before="0" w:beforeAutospacing="0" w:after="0" w:afterAutospacing="0"/>
        <w:contextualSpacing/>
        <w:jc w:val="both"/>
        <w:rPr>
          <w:rFonts w:ascii="Raleway Medium" w:eastAsia="Raleway" w:hAnsi="Raleway Medium"/>
          <w:sz w:val="18"/>
          <w:szCs w:val="18"/>
          <w:lang w:val="es-ES"/>
        </w:rPr>
      </w:pPr>
    </w:p>
    <w:p w14:paraId="24D2B984" w14:textId="70675049" w:rsidR="0041353F" w:rsidRPr="000A33B4" w:rsidRDefault="0041353F" w:rsidP="00E17786">
      <w:pPr>
        <w:pStyle w:val="NormalWeb"/>
        <w:spacing w:before="0" w:beforeAutospacing="0" w:after="0" w:afterAutospacing="0"/>
        <w:contextualSpacing/>
        <w:jc w:val="both"/>
        <w:rPr>
          <w:rFonts w:ascii="Raleway Medium" w:eastAsia="Raleway" w:hAnsi="Raleway Medium"/>
          <w:sz w:val="18"/>
          <w:szCs w:val="18"/>
          <w:lang w:val="es-ES"/>
        </w:rPr>
      </w:pPr>
      <w:r w:rsidRPr="000A33B4">
        <w:rPr>
          <w:rFonts w:ascii="Raleway Medium" w:eastAsia="Raleway" w:hAnsi="Raleway Medium"/>
          <w:sz w:val="18"/>
          <w:szCs w:val="18"/>
          <w:lang w:val="es-ES"/>
        </w:rPr>
        <w:t xml:space="preserve">Adicionalmente, la Ley contempla regímenes de responsabilidad de las obligaciones tributarias devenidas de las acciones inscritas en el Registro del Mercado de Valores y que sean parte de una oferta pública, liberando al adquiriente como responsable solidario, salvo restricciones particulares. </w:t>
      </w:r>
    </w:p>
    <w:p w14:paraId="467FFD80" w14:textId="372CF071" w:rsidR="00D53CB7" w:rsidRPr="000A33B4" w:rsidRDefault="00D53CB7" w:rsidP="00E17786">
      <w:pPr>
        <w:pStyle w:val="NormalWeb"/>
        <w:spacing w:before="0" w:beforeAutospacing="0" w:after="0" w:afterAutospacing="0"/>
        <w:contextualSpacing/>
        <w:jc w:val="both"/>
        <w:rPr>
          <w:rFonts w:ascii="Raleway Medium" w:eastAsia="Raleway" w:hAnsi="Raleway Medium"/>
          <w:sz w:val="18"/>
          <w:szCs w:val="18"/>
          <w:lang w:val="es-ES"/>
        </w:rPr>
      </w:pPr>
    </w:p>
    <w:p w14:paraId="5210E9D4" w14:textId="719AEBA1" w:rsidR="00D53CB7" w:rsidRPr="000A33B4" w:rsidRDefault="005C7096" w:rsidP="00E17786">
      <w:pPr>
        <w:pStyle w:val="NormalWeb"/>
        <w:spacing w:before="0" w:beforeAutospacing="0" w:after="0" w:afterAutospacing="0"/>
        <w:contextualSpacing/>
        <w:jc w:val="both"/>
        <w:rPr>
          <w:rFonts w:ascii="Raleway Medium" w:eastAsia="Raleway" w:hAnsi="Raleway Medium"/>
          <w:sz w:val="18"/>
          <w:szCs w:val="18"/>
          <w:lang w:val="es-ES"/>
        </w:rPr>
      </w:pPr>
      <w:r w:rsidRPr="000A33B4">
        <w:rPr>
          <w:rFonts w:ascii="Raleway Medium" w:eastAsia="Raleway" w:hAnsi="Raleway Medium"/>
          <w:sz w:val="18"/>
          <w:szCs w:val="18"/>
          <w:lang w:val="es-ES"/>
        </w:rPr>
        <w:t>Por otro lado, l</w:t>
      </w:r>
      <w:r w:rsidR="00D53CB7" w:rsidRPr="000A33B4">
        <w:rPr>
          <w:rFonts w:ascii="Raleway Medium" w:eastAsia="Raleway" w:hAnsi="Raleway Medium"/>
          <w:sz w:val="18"/>
          <w:szCs w:val="18"/>
          <w:lang w:val="es-ES"/>
        </w:rPr>
        <w:t xml:space="preserve">a nueva Ley 163-21 introduce la competencia del Consejo Nacional del Mercado de Valores para conceder tratamientos regulatorios diferenciados y temporales para el impulso del </w:t>
      </w:r>
      <w:r w:rsidR="00D53CB7" w:rsidRPr="000A33B4">
        <w:rPr>
          <w:rFonts w:ascii="Raleway Medium" w:eastAsia="Raleway" w:hAnsi="Raleway Medium"/>
          <w:sz w:val="18"/>
          <w:szCs w:val="18"/>
          <w:lang w:val="es-ES"/>
        </w:rPr>
        <w:t xml:space="preserve">gobierno corporativo en las sociedades que solicitan la autorización e inscripción en el Registro del Mercado de Valores de una oferta pública de acciones. </w:t>
      </w:r>
    </w:p>
    <w:p w14:paraId="45AD4733" w14:textId="23914CAA" w:rsidR="00D53CB7" w:rsidRPr="000A33B4" w:rsidRDefault="00D53CB7" w:rsidP="00E17786">
      <w:pPr>
        <w:pStyle w:val="NormalWeb"/>
        <w:spacing w:before="0" w:beforeAutospacing="0" w:after="0" w:afterAutospacing="0"/>
        <w:contextualSpacing/>
        <w:jc w:val="both"/>
        <w:rPr>
          <w:rFonts w:ascii="Raleway Medium" w:eastAsia="Raleway" w:hAnsi="Raleway Medium"/>
          <w:sz w:val="18"/>
          <w:szCs w:val="18"/>
          <w:lang w:val="es-ES"/>
        </w:rPr>
      </w:pPr>
    </w:p>
    <w:p w14:paraId="61CE761B" w14:textId="77777777" w:rsidR="005C7096" w:rsidRPr="000A33B4" w:rsidRDefault="005C7096" w:rsidP="00E17786">
      <w:pPr>
        <w:pStyle w:val="NormalWeb"/>
        <w:spacing w:before="0" w:beforeAutospacing="0" w:after="0" w:afterAutospacing="0"/>
        <w:contextualSpacing/>
        <w:jc w:val="both"/>
        <w:rPr>
          <w:rFonts w:ascii="Raleway Medium" w:eastAsia="Raleway" w:hAnsi="Raleway Medium"/>
          <w:sz w:val="18"/>
          <w:szCs w:val="18"/>
          <w:lang w:val="es-ES"/>
        </w:rPr>
      </w:pPr>
      <w:r w:rsidRPr="000A33B4">
        <w:rPr>
          <w:rFonts w:ascii="Raleway Medium" w:eastAsia="Raleway" w:hAnsi="Raleway Medium"/>
          <w:sz w:val="18"/>
          <w:szCs w:val="18"/>
          <w:lang w:val="es-ES"/>
        </w:rPr>
        <w:t>Finalmente, s</w:t>
      </w:r>
      <w:r w:rsidR="00D53CB7" w:rsidRPr="000A33B4">
        <w:rPr>
          <w:rFonts w:ascii="Raleway Medium" w:eastAsia="Raleway" w:hAnsi="Raleway Medium"/>
          <w:sz w:val="18"/>
          <w:szCs w:val="18"/>
          <w:lang w:val="es-ES"/>
        </w:rPr>
        <w:t xml:space="preserve">e introducen modificaciones a la Ley No. 249-17 del Mercado de Valores de la República Dominicana, entre las cuales se resalta la inclusión de un plazo de seis años para la conformación del patrimonio en el caso de los fondos de inversión, contado a partir de la primera emisión de cuotas del fondo en el Registro del Mercado de Valores para fines del impuesto sobre transferencia inmobiliaria, y un plazo de tres años para fines del ITBIS.  </w:t>
      </w:r>
      <w:r w:rsidR="00064F97" w:rsidRPr="000A33B4">
        <w:rPr>
          <w:rFonts w:ascii="Raleway Medium" w:eastAsia="Raleway" w:hAnsi="Raleway Medium"/>
          <w:sz w:val="18"/>
          <w:szCs w:val="18"/>
          <w:lang w:val="es-ES"/>
        </w:rPr>
        <w:t xml:space="preserve">Asimismo, amplía la descripción de </w:t>
      </w:r>
      <w:r w:rsidRPr="000A33B4">
        <w:rPr>
          <w:rFonts w:ascii="Raleway Medium" w:eastAsia="Raleway" w:hAnsi="Raleway Medium"/>
          <w:sz w:val="18"/>
          <w:szCs w:val="18"/>
          <w:lang w:val="es-ES"/>
        </w:rPr>
        <w:t xml:space="preserve">transacciones electrónicas y operaciones exentas del impuesto sobre la emisión de cheques y transferencias electrónicas. </w:t>
      </w:r>
    </w:p>
    <w:p w14:paraId="38C6B7B4" w14:textId="77777777" w:rsidR="005C7096" w:rsidRPr="000A33B4" w:rsidRDefault="005C7096" w:rsidP="00E17786">
      <w:pPr>
        <w:pStyle w:val="NormalWeb"/>
        <w:spacing w:before="0" w:beforeAutospacing="0" w:after="0" w:afterAutospacing="0"/>
        <w:contextualSpacing/>
        <w:jc w:val="both"/>
        <w:rPr>
          <w:rFonts w:ascii="Raleway Medium" w:eastAsia="Raleway" w:hAnsi="Raleway Medium"/>
          <w:sz w:val="18"/>
          <w:szCs w:val="18"/>
          <w:lang w:val="es-ES"/>
        </w:rPr>
      </w:pPr>
    </w:p>
    <w:p w14:paraId="2A034C4A" w14:textId="4895E032" w:rsidR="005C7096" w:rsidRPr="000A33B4" w:rsidRDefault="005C7096" w:rsidP="00E17786">
      <w:pPr>
        <w:pStyle w:val="NormalWeb"/>
        <w:spacing w:before="0" w:beforeAutospacing="0" w:after="0" w:afterAutospacing="0"/>
        <w:contextualSpacing/>
        <w:jc w:val="both"/>
        <w:rPr>
          <w:rFonts w:ascii="Raleway Medium" w:eastAsia="Raleway" w:hAnsi="Raleway Medium"/>
          <w:sz w:val="18"/>
          <w:szCs w:val="18"/>
          <w:lang w:val="es-ES"/>
        </w:rPr>
      </w:pPr>
      <w:r w:rsidRPr="000A33B4">
        <w:rPr>
          <w:rFonts w:ascii="Raleway Medium" w:eastAsia="Raleway" w:hAnsi="Raleway Medium"/>
          <w:sz w:val="18"/>
          <w:szCs w:val="18"/>
          <w:lang w:val="es-ES"/>
        </w:rPr>
        <w:t xml:space="preserve">Se ordena la modificación del título de la Ley No. 249-19 del Mercado de Valores para que en lo adelante se lea como “Ley No. 249-17, del 19 de diciembre de 2017, del mercado de Valores de la República Dominicana, que deroga y sustituye la Ley No. 19-00, del 8 de mayo de 2000”, con el propósito de evitar la impresión errada de que la Ley promulgada en el año 2000 ha sido modificada, y por lo tanto se encuentra parcialmente vigente. </w:t>
      </w:r>
    </w:p>
    <w:p w14:paraId="5D527364" w14:textId="77777777" w:rsidR="007B0DB2" w:rsidRPr="000A33B4" w:rsidRDefault="007B0DB2" w:rsidP="00241564">
      <w:pPr>
        <w:pStyle w:val="NormalWeb"/>
        <w:spacing w:before="0" w:beforeAutospacing="0" w:after="0" w:afterAutospacing="0"/>
        <w:ind w:left="360"/>
        <w:contextualSpacing/>
        <w:jc w:val="both"/>
        <w:rPr>
          <w:rFonts w:ascii="Raleway Medium" w:eastAsia="Raleway" w:hAnsi="Raleway Medium"/>
          <w:sz w:val="18"/>
          <w:szCs w:val="18"/>
          <w:lang w:val="es-ES"/>
        </w:rPr>
      </w:pPr>
    </w:p>
    <w:p w14:paraId="63AFE97E" w14:textId="41CF288E" w:rsidR="0021170E" w:rsidRPr="000A33B4" w:rsidRDefault="000A33B4" w:rsidP="00641379">
      <w:pPr>
        <w:pStyle w:val="NormalWeb"/>
        <w:spacing w:before="0" w:beforeAutospacing="0" w:after="0" w:afterAutospacing="0"/>
        <w:contextualSpacing/>
        <w:jc w:val="both"/>
        <w:rPr>
          <w:rFonts w:ascii="Raleway Medium" w:eastAsia="Raleway" w:hAnsi="Raleway Medium"/>
          <w:sz w:val="18"/>
          <w:szCs w:val="18"/>
          <w:lang w:val="es-ES"/>
        </w:rPr>
      </w:pPr>
      <w:r w:rsidRPr="000A33B4">
        <w:rPr>
          <w:rFonts w:ascii="Book Antiqua" w:hAnsi="Book Antiqua"/>
          <w:b/>
          <w:bCs/>
          <w:noProof/>
          <w:sz w:val="28"/>
          <w:szCs w:val="28"/>
          <w:lang w:val="es-ES"/>
        </w:rPr>
        <w:drawing>
          <wp:anchor distT="0" distB="0" distL="114300" distR="114300" simplePos="0" relativeHeight="251661312" behindDoc="0" locked="0" layoutInCell="1" allowOverlap="1" wp14:anchorId="0BA0598A" wp14:editId="089D4D1E">
            <wp:simplePos x="0" y="0"/>
            <wp:positionH relativeFrom="column">
              <wp:posOffset>3810</wp:posOffset>
            </wp:positionH>
            <wp:positionV relativeFrom="paragraph">
              <wp:posOffset>545465</wp:posOffset>
            </wp:positionV>
            <wp:extent cx="2747010" cy="787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7010" cy="787400"/>
                    </a:xfrm>
                    <a:prstGeom prst="rect">
                      <a:avLst/>
                    </a:prstGeom>
                  </pic:spPr>
                </pic:pic>
              </a:graphicData>
            </a:graphic>
          </wp:anchor>
        </w:drawing>
      </w:r>
      <w:r w:rsidR="00641379" w:rsidRPr="000A33B4">
        <w:rPr>
          <w:rFonts w:ascii="Raleway Medium" w:eastAsia="Raleway" w:hAnsi="Raleway Medium"/>
          <w:sz w:val="18"/>
          <w:szCs w:val="18"/>
          <w:lang w:val="es-ES"/>
        </w:rPr>
        <w:t>En caso de requerir información adicional no dude en contactarnos a través de los medios correspondientes, con el fin de brindarle un servicio personalizado que satisfaga sus requerimientos.</w:t>
      </w:r>
    </w:p>
    <w:p w14:paraId="6899A364" w14:textId="74E13EBB" w:rsidR="00641379" w:rsidRPr="000A33B4" w:rsidRDefault="00641379" w:rsidP="00641379">
      <w:pPr>
        <w:pStyle w:val="NormalWeb"/>
        <w:spacing w:before="0" w:beforeAutospacing="0" w:after="0" w:afterAutospacing="0"/>
        <w:contextualSpacing/>
        <w:jc w:val="both"/>
        <w:rPr>
          <w:rFonts w:ascii="Georgia" w:hAnsi="Georgia"/>
          <w:sz w:val="16"/>
          <w:szCs w:val="16"/>
          <w:lang w:val="es-ES"/>
        </w:rPr>
      </w:pPr>
    </w:p>
    <w:p w14:paraId="42088F7D" w14:textId="242530D5" w:rsidR="00641379" w:rsidRPr="000A33B4" w:rsidRDefault="00641379" w:rsidP="00641379">
      <w:pPr>
        <w:rPr>
          <w:rFonts w:eastAsia="Calibri" w:cs="Times New Roman"/>
          <w:sz w:val="20"/>
          <w:szCs w:val="20"/>
          <w:lang w:val="es-ES"/>
        </w:rPr>
      </w:pPr>
      <w:r w:rsidRPr="000A33B4">
        <w:rPr>
          <w:rFonts w:ascii="Raleway Medium" w:eastAsia="Raleway" w:hAnsi="Raleway Medium" w:cs="Arial"/>
          <w:b/>
          <w:sz w:val="14"/>
          <w:szCs w:val="14"/>
          <w:lang w:val="es-ES"/>
        </w:rPr>
        <w:t>Departamento:</w:t>
      </w:r>
      <w:r w:rsidRPr="000A33B4">
        <w:rPr>
          <w:rFonts w:ascii="Raleway Medium" w:eastAsia="Raleway" w:hAnsi="Raleway Medium" w:cs="Arial"/>
          <w:bCs/>
          <w:sz w:val="14"/>
          <w:szCs w:val="14"/>
          <w:lang w:val="es-ES"/>
        </w:rPr>
        <w:t xml:space="preserve"> </w:t>
      </w:r>
      <w:r w:rsidR="00B31C4C" w:rsidRPr="000A33B4">
        <w:rPr>
          <w:rFonts w:ascii="Raleway Medium" w:eastAsia="Raleway" w:hAnsi="Raleway Medium" w:cs="Arial"/>
          <w:bCs/>
          <w:sz w:val="14"/>
          <w:szCs w:val="14"/>
          <w:lang w:val="es-ES"/>
        </w:rPr>
        <w:t>Negocios Corporativos</w:t>
      </w:r>
      <w:r w:rsidRPr="000A33B4">
        <w:rPr>
          <w:rFonts w:ascii="Raleway Medium" w:eastAsia="Raleway" w:hAnsi="Raleway Medium" w:cs="Arial"/>
          <w:bCs/>
          <w:sz w:val="14"/>
          <w:szCs w:val="14"/>
          <w:lang w:val="es-ES"/>
        </w:rPr>
        <w:t xml:space="preserve"> </w:t>
      </w:r>
    </w:p>
    <w:p w14:paraId="5D7595CF" w14:textId="77777777" w:rsidR="00641379" w:rsidRPr="000A33B4" w:rsidRDefault="00641379" w:rsidP="00641379">
      <w:pPr>
        <w:rPr>
          <w:rFonts w:ascii="Raleway Medium" w:eastAsia="Raleway" w:hAnsi="Raleway Medium" w:cs="Arial"/>
          <w:b/>
          <w:sz w:val="14"/>
          <w:szCs w:val="14"/>
          <w:lang w:val="es-ES"/>
        </w:rPr>
      </w:pPr>
      <w:r w:rsidRPr="000A33B4">
        <w:rPr>
          <w:rFonts w:ascii="Raleway Medium" w:eastAsia="Raleway" w:hAnsi="Raleway Medium" w:cs="Arial"/>
          <w:b/>
          <w:sz w:val="14"/>
          <w:szCs w:val="14"/>
          <w:lang w:val="es-ES"/>
        </w:rPr>
        <w:t xml:space="preserve">Contacto: </w:t>
      </w:r>
    </w:p>
    <w:p w14:paraId="03011985" w14:textId="59807D0C" w:rsidR="00641379" w:rsidRPr="000A33B4" w:rsidRDefault="00DE4F66" w:rsidP="00641379">
      <w:pPr>
        <w:jc w:val="left"/>
        <w:rPr>
          <w:rFonts w:ascii="Raleway Medium" w:eastAsia="Raleway" w:hAnsi="Raleway Medium" w:cs="Arial"/>
          <w:bCs/>
          <w:sz w:val="14"/>
          <w:szCs w:val="14"/>
          <w:lang w:val="es-DO"/>
        </w:rPr>
      </w:pPr>
      <w:r w:rsidRPr="000A33B4">
        <w:rPr>
          <w:rFonts w:ascii="Raleway Medium" w:eastAsia="Raleway" w:hAnsi="Raleway Medium" w:cs="Arial"/>
          <w:bCs/>
          <w:sz w:val="14"/>
          <w:szCs w:val="14"/>
          <w:lang w:val="es-DO"/>
        </w:rPr>
        <w:t>Gina A. Hernández Vólquez (ghernandez@alburquerque.com.do)</w:t>
      </w:r>
    </w:p>
    <w:p w14:paraId="11A9A4AB" w14:textId="15A42B61" w:rsidR="00DA682D" w:rsidRPr="000A33B4" w:rsidRDefault="00641379" w:rsidP="000A33B4">
      <w:pPr>
        <w:pStyle w:val="NormalWeb"/>
        <w:spacing w:before="0" w:beforeAutospacing="0" w:after="0" w:afterAutospacing="0"/>
        <w:contextualSpacing/>
        <w:rPr>
          <w:rFonts w:ascii="Raleway Medium" w:eastAsia="Raleway" w:hAnsi="Raleway Medium"/>
          <w:sz w:val="14"/>
          <w:szCs w:val="14"/>
          <w:lang w:val="es-DO"/>
        </w:rPr>
      </w:pPr>
      <w:r w:rsidRPr="000A33B4">
        <w:rPr>
          <w:rFonts w:ascii="Raleway Medium" w:eastAsia="Raleway" w:hAnsi="Raleway Medium" w:cs="Arial"/>
          <w:bCs/>
          <w:sz w:val="14"/>
          <w:szCs w:val="14"/>
          <w:lang w:val="es-DO"/>
        </w:rPr>
        <w:t>José Manuel Alburquerque Prieto (</w:t>
      </w:r>
      <w:hyperlink r:id="rId11" w:history="1">
        <w:r w:rsidRPr="000A33B4">
          <w:rPr>
            <w:rFonts w:ascii="Raleway Medium" w:eastAsia="Raleway" w:hAnsi="Raleway Medium" w:cs="Arial"/>
            <w:bCs/>
            <w:sz w:val="14"/>
            <w:szCs w:val="14"/>
            <w:u w:val="single"/>
            <w:lang w:val="es-DO"/>
          </w:rPr>
          <w:t>jmap@alburquerque.com.do</w:t>
        </w:r>
      </w:hyperlink>
      <w:r w:rsidRPr="000A33B4">
        <w:rPr>
          <w:rFonts w:ascii="Raleway Medium" w:eastAsia="Raleway" w:hAnsi="Raleway Medium" w:cs="Arial"/>
          <w:bCs/>
          <w:sz w:val="14"/>
          <w:szCs w:val="14"/>
          <w:u w:val="single"/>
          <w:lang w:val="es-DO"/>
        </w:rPr>
        <w:t>)</w:t>
      </w:r>
    </w:p>
    <w:sectPr w:rsidR="00DA682D" w:rsidRPr="000A33B4" w:rsidSect="002C2ADA">
      <w:headerReference w:type="default" r:id="rId12"/>
      <w:footerReference w:type="default" r:id="rId13"/>
      <w:type w:val="continuous"/>
      <w:pgSz w:w="12240" w:h="15840"/>
      <w:pgMar w:top="1440" w:right="1440" w:bottom="1440" w:left="1440" w:header="708" w:footer="9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0F0B" w14:textId="77777777" w:rsidR="00981BC7" w:rsidRDefault="00981BC7">
      <w:r>
        <w:separator/>
      </w:r>
    </w:p>
  </w:endnote>
  <w:endnote w:type="continuationSeparator" w:id="0">
    <w:p w14:paraId="0C05256A" w14:textId="77777777" w:rsidR="00981BC7" w:rsidRDefault="0098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Montserrat SemiBold">
    <w:altName w:val="Calibri"/>
    <w:charset w:val="00"/>
    <w:family w:val="auto"/>
    <w:pitch w:val="variable"/>
    <w:sig w:usb0="2000020F" w:usb1="00000003" w:usb2="00000000" w:usb3="00000000" w:csb0="00000197" w:csb1="00000000"/>
  </w:font>
  <w:font w:name="Raleway Medium">
    <w:panose1 w:val="00000000000000000000"/>
    <w:charset w:val="00"/>
    <w:family w:val="auto"/>
    <w:pitch w:val="variable"/>
    <w:sig w:usb0="A00002FF" w:usb1="5000205B" w:usb2="00000000" w:usb3="00000000" w:csb0="00000197" w:csb1="00000000"/>
  </w:font>
  <w:font w:name="Arial (Body CS)">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BC9A" w14:textId="62ABBB9A" w:rsidR="002C2ADA" w:rsidRPr="00215584" w:rsidRDefault="002C2ADA" w:rsidP="002C2ADA">
    <w:pPr>
      <w:pStyle w:val="Piedepgina"/>
      <w:jc w:val="center"/>
      <w:rPr>
        <w:rFonts w:ascii="Raleway" w:eastAsia="Raleway" w:hAnsi="Raleway" w:cs="Arial (Body CS)"/>
        <w:sz w:val="18"/>
        <w:szCs w:val="18"/>
        <w:lang w:val="es-DO"/>
      </w:rPr>
    </w:pPr>
    <w:r w:rsidRPr="001053F3">
      <w:rPr>
        <w:rFonts w:ascii="Raleway" w:eastAsia="Raleway" w:hAnsi="Raleway" w:cs="Arial (Body CS)"/>
        <w:sz w:val="18"/>
        <w:szCs w:val="18"/>
        <w:lang w:val="es-DO"/>
      </w:rPr>
      <w:t>Av. Gustavo Mejía Ricart, esq. Av. Abraham Lincoln, Torre Piantini, Piso 13, C.P. 10148, Santo Domingo, D.N. República Dominicana. </w:t>
    </w:r>
    <w:r w:rsidRPr="00215584">
      <w:rPr>
        <w:rFonts w:ascii="Raleway" w:eastAsia="Raleway" w:hAnsi="Raleway" w:cs="Arial (Body CS)"/>
        <w:sz w:val="18"/>
        <w:szCs w:val="18"/>
        <w:lang w:val="es-DO"/>
      </w:rPr>
      <w:t>Telf. </w:t>
    </w:r>
    <w:hyperlink r:id="rId1" w:history="1">
      <w:r w:rsidRPr="00215584">
        <w:rPr>
          <w:rStyle w:val="Hipervnculo"/>
          <w:rFonts w:ascii="Raleway" w:eastAsia="Raleway" w:hAnsi="Raleway" w:cs="Arial (Body CS)"/>
          <w:sz w:val="18"/>
          <w:szCs w:val="18"/>
          <w:lang w:val="es-DO"/>
        </w:rPr>
        <w:t>+1 (809) 549-4646</w:t>
      </w:r>
    </w:hyperlink>
    <w:r w:rsidR="00C3533F" w:rsidRPr="00215584">
      <w:rPr>
        <w:rStyle w:val="Hipervnculo"/>
        <w:rFonts w:ascii="Raleway" w:eastAsia="Raleway" w:hAnsi="Raleway" w:cs="Arial (Body CS)"/>
        <w:color w:val="auto"/>
        <w:sz w:val="18"/>
        <w:szCs w:val="18"/>
        <w:u w:val="none"/>
        <w:lang w:val="es-DO"/>
      </w:rPr>
      <w:t xml:space="preserve"> -</w:t>
    </w:r>
    <w:r w:rsidR="00C3533F" w:rsidRPr="00215584">
      <w:rPr>
        <w:rStyle w:val="Hipervnculo"/>
        <w:rFonts w:ascii="Raleway" w:eastAsia="Raleway" w:hAnsi="Raleway" w:cs="Arial (Body CS)"/>
        <w:color w:val="auto"/>
        <w:sz w:val="18"/>
        <w:szCs w:val="18"/>
        <w:lang w:val="es-DO"/>
      </w:rPr>
      <w:t xml:space="preserve"> </w:t>
    </w:r>
    <w:hyperlink r:id="rId2" w:history="1">
      <w:r w:rsidR="00C3533F" w:rsidRPr="00215584">
        <w:rPr>
          <w:rStyle w:val="Hipervnculo"/>
          <w:rFonts w:ascii="Raleway" w:eastAsia="Raleway" w:hAnsi="Raleway" w:cs="Arial (Body CS)"/>
          <w:sz w:val="18"/>
          <w:szCs w:val="18"/>
          <w:lang w:val="es-DO"/>
        </w:rPr>
        <w:t>https://www.alburquerque.com.do/</w:t>
      </w:r>
    </w:hyperlink>
    <w:r w:rsidR="00C3533F" w:rsidRPr="00215584">
      <w:rPr>
        <w:rStyle w:val="Hipervnculo"/>
        <w:rFonts w:ascii="Raleway" w:eastAsia="Raleway" w:hAnsi="Raleway" w:cs="Arial (Body CS)"/>
        <w:color w:val="auto"/>
        <w:sz w:val="18"/>
        <w:szCs w:val="18"/>
        <w:lang w:val="es-DO"/>
      </w:rPr>
      <w:t xml:space="preserve"> </w:t>
    </w:r>
  </w:p>
  <w:p w14:paraId="2AF82596" w14:textId="41092E6C" w:rsidR="00C73141" w:rsidRPr="00215584" w:rsidRDefault="001956EA" w:rsidP="002C2ADA">
    <w:pPr>
      <w:pStyle w:val="Piedepgina"/>
      <w:rPr>
        <w:lang w:val="es-D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2478" w14:textId="41E05783" w:rsidR="002C2ADA" w:rsidRPr="00215584" w:rsidRDefault="002C2ADA" w:rsidP="002C2ADA">
    <w:pPr>
      <w:pStyle w:val="Piedepgina"/>
      <w:jc w:val="center"/>
      <w:rPr>
        <w:rFonts w:ascii="Century Gothic" w:hAnsi="Century Gothic"/>
        <w:sz w:val="18"/>
        <w:szCs w:val="18"/>
        <w:lang w:val="es-DO"/>
      </w:rPr>
    </w:pPr>
    <w:r w:rsidRPr="001053F3">
      <w:rPr>
        <w:rFonts w:ascii="Century Gothic" w:hAnsi="Century Gothic"/>
        <w:sz w:val="18"/>
        <w:szCs w:val="18"/>
        <w:lang w:val="es-DO"/>
      </w:rPr>
      <w:t>Av. Gustavo Mejía Ricart, esq. Av. Abraham Lincoln, Torre Piantini, Piso 13, C.P. 10148, Santo Domingo, D.N. República Dominicana. </w:t>
    </w:r>
    <w:r w:rsidRPr="00215584">
      <w:rPr>
        <w:rFonts w:ascii="Century Gothic" w:hAnsi="Century Gothic"/>
        <w:sz w:val="18"/>
        <w:szCs w:val="18"/>
        <w:lang w:val="es-DO"/>
      </w:rPr>
      <w:t>Telf. </w:t>
    </w:r>
    <w:hyperlink r:id="rId1" w:history="1">
      <w:r w:rsidRPr="00215584">
        <w:rPr>
          <w:rStyle w:val="Hipervnculo"/>
          <w:rFonts w:ascii="Century Gothic" w:hAnsi="Century Gothic"/>
          <w:sz w:val="18"/>
          <w:szCs w:val="18"/>
          <w:lang w:val="es-DO"/>
        </w:rPr>
        <w:t>+1 (809) 549-4646</w:t>
      </w:r>
    </w:hyperlink>
  </w:p>
  <w:p w14:paraId="003AC266" w14:textId="77777777" w:rsidR="002C2ADA" w:rsidRPr="002C2ADA" w:rsidRDefault="002C2ADA" w:rsidP="002C2ADA">
    <w:pPr>
      <w:pStyle w:val="Piedepgina"/>
      <w:rPr>
        <w:lang w:val="it-IT"/>
      </w:rPr>
    </w:pPr>
  </w:p>
  <w:p w14:paraId="285F9447" w14:textId="55CC93FD" w:rsidR="000E6C27" w:rsidRPr="00215584" w:rsidRDefault="001956EA" w:rsidP="002C2ADA">
    <w:pPr>
      <w:pStyle w:val="Piedepgina"/>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ECA2" w14:textId="77777777" w:rsidR="00981BC7" w:rsidRDefault="00981BC7">
      <w:r>
        <w:separator/>
      </w:r>
    </w:p>
  </w:footnote>
  <w:footnote w:type="continuationSeparator" w:id="0">
    <w:p w14:paraId="7DA09AFD" w14:textId="77777777" w:rsidR="00981BC7" w:rsidRDefault="0098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C0A1" w14:textId="075F1510" w:rsidR="00C73141" w:rsidRDefault="001956EA" w:rsidP="000E6C2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C650" w14:textId="007D9DFF" w:rsidR="000E6C27" w:rsidRDefault="001956EA" w:rsidP="000E6C2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3E72"/>
    <w:multiLevelType w:val="hybridMultilevel"/>
    <w:tmpl w:val="B4D271F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C67DC"/>
    <w:multiLevelType w:val="hybridMultilevel"/>
    <w:tmpl w:val="51CA2AD0"/>
    <w:lvl w:ilvl="0" w:tplc="B07865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6766079E"/>
    <w:multiLevelType w:val="hybridMultilevel"/>
    <w:tmpl w:val="BF7A4142"/>
    <w:lvl w:ilvl="0" w:tplc="13F6067A">
      <w:start w:val="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A67E89"/>
    <w:multiLevelType w:val="hybridMultilevel"/>
    <w:tmpl w:val="D79E7E4C"/>
    <w:lvl w:ilvl="0" w:tplc="8076BE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07D9C"/>
    <w:multiLevelType w:val="hybridMultilevel"/>
    <w:tmpl w:val="EE9C9DBA"/>
    <w:lvl w:ilvl="0" w:tplc="EFC02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122E7"/>
    <w:multiLevelType w:val="hybridMultilevel"/>
    <w:tmpl w:val="4C560B64"/>
    <w:lvl w:ilvl="0" w:tplc="0409001B">
      <w:start w:val="1"/>
      <w:numFmt w:val="low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86"/>
    <w:rsid w:val="00064F97"/>
    <w:rsid w:val="00075603"/>
    <w:rsid w:val="000A33B4"/>
    <w:rsid w:val="001053F3"/>
    <w:rsid w:val="001226DA"/>
    <w:rsid w:val="00161AF9"/>
    <w:rsid w:val="001956EA"/>
    <w:rsid w:val="001C2E1D"/>
    <w:rsid w:val="00202A01"/>
    <w:rsid w:val="0021170E"/>
    <w:rsid w:val="00215584"/>
    <w:rsid w:val="00241564"/>
    <w:rsid w:val="002A78C3"/>
    <w:rsid w:val="002C2ADA"/>
    <w:rsid w:val="00323630"/>
    <w:rsid w:val="0041353F"/>
    <w:rsid w:val="004238CE"/>
    <w:rsid w:val="0049502F"/>
    <w:rsid w:val="004D1B53"/>
    <w:rsid w:val="00521A64"/>
    <w:rsid w:val="005C7096"/>
    <w:rsid w:val="005F099F"/>
    <w:rsid w:val="00641379"/>
    <w:rsid w:val="006D599A"/>
    <w:rsid w:val="007373FA"/>
    <w:rsid w:val="007B0DB2"/>
    <w:rsid w:val="00835F42"/>
    <w:rsid w:val="008A476C"/>
    <w:rsid w:val="00981BC7"/>
    <w:rsid w:val="00A250F9"/>
    <w:rsid w:val="00A43FE6"/>
    <w:rsid w:val="00B31C4C"/>
    <w:rsid w:val="00BA4C90"/>
    <w:rsid w:val="00BE2101"/>
    <w:rsid w:val="00C3533F"/>
    <w:rsid w:val="00C47669"/>
    <w:rsid w:val="00C621C6"/>
    <w:rsid w:val="00C76454"/>
    <w:rsid w:val="00CF04C1"/>
    <w:rsid w:val="00D13370"/>
    <w:rsid w:val="00D3106A"/>
    <w:rsid w:val="00D53CB7"/>
    <w:rsid w:val="00D72A20"/>
    <w:rsid w:val="00DB1639"/>
    <w:rsid w:val="00DE4F66"/>
    <w:rsid w:val="00E17786"/>
    <w:rsid w:val="00EB43B8"/>
    <w:rsid w:val="00EB61E9"/>
    <w:rsid w:val="00EC5353"/>
    <w:rsid w:val="00ED27D5"/>
    <w:rsid w:val="00F42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AFC757"/>
  <w15:chartTrackingRefBased/>
  <w15:docId w15:val="{7E63E53E-37F6-45F4-A788-D1D3C8D2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786"/>
    <w:pPr>
      <w:spacing w:after="0" w:line="240" w:lineRule="auto"/>
      <w:jc w:val="both"/>
    </w:pPr>
    <w:rPr>
      <w:rFonts w:ascii="Georgia" w:hAnsi="Georgia"/>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7786"/>
    <w:pPr>
      <w:spacing w:before="100" w:beforeAutospacing="1" w:after="100" w:afterAutospacing="1"/>
      <w:jc w:val="left"/>
    </w:pPr>
    <w:rPr>
      <w:rFonts w:ascii="Times New Roman" w:eastAsia="Times New Roman" w:hAnsi="Times New Roman" w:cs="Times New Roman"/>
      <w:sz w:val="24"/>
    </w:rPr>
  </w:style>
  <w:style w:type="paragraph" w:styleId="Encabezado">
    <w:name w:val="header"/>
    <w:basedOn w:val="Normal"/>
    <w:link w:val="EncabezadoCar"/>
    <w:uiPriority w:val="99"/>
    <w:unhideWhenUsed/>
    <w:rsid w:val="00E17786"/>
    <w:pPr>
      <w:tabs>
        <w:tab w:val="center" w:pos="4680"/>
        <w:tab w:val="right" w:pos="9360"/>
      </w:tabs>
    </w:pPr>
  </w:style>
  <w:style w:type="character" w:customStyle="1" w:styleId="EncabezadoCar">
    <w:name w:val="Encabezado Car"/>
    <w:basedOn w:val="Fuentedeprrafopredeter"/>
    <w:link w:val="Encabezado"/>
    <w:uiPriority w:val="99"/>
    <w:rsid w:val="00E17786"/>
    <w:rPr>
      <w:rFonts w:ascii="Georgia" w:hAnsi="Georgia"/>
      <w:szCs w:val="24"/>
    </w:rPr>
  </w:style>
  <w:style w:type="character" w:styleId="Hipervnculo">
    <w:name w:val="Hyperlink"/>
    <w:basedOn w:val="Fuentedeprrafopredeter"/>
    <w:uiPriority w:val="99"/>
    <w:unhideWhenUsed/>
    <w:rsid w:val="00E17786"/>
    <w:rPr>
      <w:color w:val="0563C1" w:themeColor="hyperlink"/>
      <w:u w:val="single"/>
    </w:rPr>
  </w:style>
  <w:style w:type="character" w:styleId="Mencinsinresolver">
    <w:name w:val="Unresolved Mention"/>
    <w:basedOn w:val="Fuentedeprrafopredeter"/>
    <w:uiPriority w:val="99"/>
    <w:semiHidden/>
    <w:unhideWhenUsed/>
    <w:rsid w:val="00641379"/>
    <w:rPr>
      <w:color w:val="605E5C"/>
      <w:shd w:val="clear" w:color="auto" w:fill="E1DFDD"/>
    </w:rPr>
  </w:style>
  <w:style w:type="character" w:styleId="Refdecomentario">
    <w:name w:val="annotation reference"/>
    <w:basedOn w:val="Fuentedeprrafopredeter"/>
    <w:uiPriority w:val="99"/>
    <w:semiHidden/>
    <w:unhideWhenUsed/>
    <w:rsid w:val="0049502F"/>
    <w:rPr>
      <w:sz w:val="16"/>
      <w:szCs w:val="16"/>
    </w:rPr>
  </w:style>
  <w:style w:type="paragraph" w:styleId="Textocomentario">
    <w:name w:val="annotation text"/>
    <w:basedOn w:val="Normal"/>
    <w:link w:val="TextocomentarioCar"/>
    <w:uiPriority w:val="99"/>
    <w:semiHidden/>
    <w:unhideWhenUsed/>
    <w:rsid w:val="0049502F"/>
    <w:rPr>
      <w:sz w:val="20"/>
      <w:szCs w:val="20"/>
    </w:rPr>
  </w:style>
  <w:style w:type="character" w:customStyle="1" w:styleId="TextocomentarioCar">
    <w:name w:val="Texto comentario Car"/>
    <w:basedOn w:val="Fuentedeprrafopredeter"/>
    <w:link w:val="Textocomentario"/>
    <w:uiPriority w:val="99"/>
    <w:semiHidden/>
    <w:rsid w:val="0049502F"/>
    <w:rPr>
      <w:rFonts w:ascii="Georgia" w:hAnsi="Georgia"/>
      <w:sz w:val="20"/>
      <w:szCs w:val="20"/>
    </w:rPr>
  </w:style>
  <w:style w:type="paragraph" w:styleId="Asuntodelcomentario">
    <w:name w:val="annotation subject"/>
    <w:basedOn w:val="Textocomentario"/>
    <w:next w:val="Textocomentario"/>
    <w:link w:val="AsuntodelcomentarioCar"/>
    <w:uiPriority w:val="99"/>
    <w:semiHidden/>
    <w:unhideWhenUsed/>
    <w:rsid w:val="0049502F"/>
    <w:rPr>
      <w:b/>
      <w:bCs/>
    </w:rPr>
  </w:style>
  <w:style w:type="character" w:customStyle="1" w:styleId="AsuntodelcomentarioCar">
    <w:name w:val="Asunto del comentario Car"/>
    <w:basedOn w:val="TextocomentarioCar"/>
    <w:link w:val="Asuntodelcomentario"/>
    <w:uiPriority w:val="99"/>
    <w:semiHidden/>
    <w:rsid w:val="0049502F"/>
    <w:rPr>
      <w:rFonts w:ascii="Georgia" w:hAnsi="Georgia"/>
      <w:b/>
      <w:bCs/>
      <w:sz w:val="20"/>
      <w:szCs w:val="20"/>
    </w:rPr>
  </w:style>
  <w:style w:type="paragraph" w:styleId="Piedepgina">
    <w:name w:val="footer"/>
    <w:basedOn w:val="Normal"/>
    <w:link w:val="PiedepginaCar"/>
    <w:uiPriority w:val="99"/>
    <w:unhideWhenUsed/>
    <w:rsid w:val="002A78C3"/>
    <w:pPr>
      <w:tabs>
        <w:tab w:val="center" w:pos="4680"/>
        <w:tab w:val="right" w:pos="9360"/>
      </w:tabs>
    </w:pPr>
  </w:style>
  <w:style w:type="character" w:customStyle="1" w:styleId="PiedepginaCar">
    <w:name w:val="Pie de página Car"/>
    <w:basedOn w:val="Fuentedeprrafopredeter"/>
    <w:link w:val="Piedepgina"/>
    <w:uiPriority w:val="99"/>
    <w:rsid w:val="002A78C3"/>
    <w:rPr>
      <w:rFonts w:ascii="Georgia" w:hAnsi="Georgia"/>
      <w:szCs w:val="24"/>
    </w:rPr>
  </w:style>
  <w:style w:type="character" w:customStyle="1" w:styleId="apple-converted-space">
    <w:name w:val="apple-converted-space"/>
    <w:basedOn w:val="Fuentedeprrafopredeter"/>
    <w:rsid w:val="0021170E"/>
  </w:style>
  <w:style w:type="character" w:styleId="Hipervnculovisitado">
    <w:name w:val="FollowedHyperlink"/>
    <w:basedOn w:val="Fuentedeprrafopredeter"/>
    <w:uiPriority w:val="99"/>
    <w:semiHidden/>
    <w:unhideWhenUsed/>
    <w:rsid w:val="002C2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3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p@alburquerque.com.d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lburquerque.com.do/" TargetMode="External"/><Relationship Id="rId1" Type="http://schemas.openxmlformats.org/officeDocument/2006/relationships/hyperlink" Target="tel:+1809549464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tel:+180954946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Nieves Santana</dc:creator>
  <cp:keywords/>
  <dc:description/>
  <cp:lastModifiedBy>Natalia Vásquez Guzmán</cp:lastModifiedBy>
  <cp:revision>2</cp:revision>
  <dcterms:created xsi:type="dcterms:W3CDTF">2021-08-19T13:34:00Z</dcterms:created>
  <dcterms:modified xsi:type="dcterms:W3CDTF">2021-08-19T13:34:00Z</dcterms:modified>
</cp:coreProperties>
</file>